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8F1A1A"/>
          <w:sz w:val="36"/>
        </w:rPr>
        <w:t>GigaFasTV.Net</w:t>
      </w:r>
    </w:p>
    <w:p>
      <w:pPr>
        <w:jc w:val="center"/>
      </w:pPr>
      <w:r>
        <w:rPr>
          <w:b/>
          <w:color w:val="0A2540"/>
          <w:sz w:val="44"/>
        </w:rPr>
        <w:t>Matriz de cumplimiento ARCOTEL para página web</w:t>
      </w:r>
    </w:p>
    <w:p>
      <w:pPr>
        <w:jc w:val="center"/>
      </w:pPr>
      <w:r>
        <w:rPr>
          <w:i/>
        </w:rPr>
        <w:t>Documento de trabajo - revisión al 29 de julio de 2026</w:t>
      </w:r>
    </w:p>
    <w:p/>
    <w:p>
      <w:r>
        <w:rPr>
          <w:b/>
        </w:rPr>
        <w:t xml:space="preserve">Alcance. </w:t>
      </w:r>
      <w:r>
        <w:t>Matriz orientativa para estructurar la página pública del prestador del Servicio de Acceso a Internet. Debe ajustarse al título habilitante y a los datos reales de GigaFastv.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shd w:fill="0A2540"/>
          </w:tcPr>
          <w:p>
            <w:r>
              <w:rPr>
                <w:b/>
                <w:color w:val="FFFFFF"/>
              </w:rPr>
              <w:t>Elemento</w:t>
            </w:r>
          </w:p>
        </w:tc>
        <w:tc>
          <w:tcPr>
            <w:tcW w:type="dxa" w:w="2033"/>
            <w:shd w:fill="0A2540"/>
          </w:tcPr>
          <w:p>
            <w:r>
              <w:rPr>
                <w:b/>
                <w:color w:val="FFFFFF"/>
              </w:rPr>
              <w:t>Requisito</w:t>
            </w:r>
          </w:p>
        </w:tc>
        <w:tc>
          <w:tcPr>
            <w:tcW w:type="dxa" w:w="2033"/>
            <w:shd w:fill="0A2540"/>
          </w:tcPr>
          <w:p>
            <w:r>
              <w:rPr>
                <w:b/>
                <w:color w:val="FFFFFF"/>
              </w:rPr>
              <w:t>Nivel</w:t>
            </w:r>
          </w:p>
        </w:tc>
        <w:tc>
          <w:tcPr>
            <w:tcW w:type="dxa" w:w="2033"/>
            <w:shd w:fill="0A2540"/>
          </w:tcPr>
          <w:p>
            <w:r>
              <w:rPr>
                <w:b/>
                <w:color w:val="FFFFFF"/>
              </w:rPr>
              <w:t>Página</w:t>
            </w:r>
          </w:p>
        </w:tc>
        <w:tc>
          <w:tcPr>
            <w:tcW w:type="dxa" w:w="2033"/>
            <w:shd w:fill="0A2540"/>
          </w:tcPr>
          <w:p>
            <w:r>
              <w:rPr>
                <w:b/>
                <w:color w:val="FFFFFF"/>
              </w:rPr>
              <w:t>Acción pendiente</w:t>
            </w:r>
          </w:p>
        </w:tc>
      </w:tr>
      <w:tr>
        <w:tc>
          <w:tcPr>
            <w:tcW w:type="dxa" w:w="2033"/>
            <w:vAlign w:val="top"/>
          </w:tcPr>
          <w:p>
            <w:r>
              <w:t>Planes, promociones, tarifas y precios</w:t>
            </w:r>
          </w:p>
        </w:tc>
        <w:tc>
          <w:tcPr>
            <w:tcW w:type="dxa" w:w="2033"/>
            <w:vAlign w:val="top"/>
          </w:tcPr>
          <w:p>
            <w:r>
              <w:t>Publicación completa, comparable y oportuna en la página web.</w:t>
            </w:r>
          </w:p>
        </w:tc>
        <w:tc>
          <w:tcPr>
            <w:tcW w:type="dxa" w:w="2033"/>
            <w:vAlign w:val="top"/>
          </w:tcPr>
          <w:p>
            <w:r>
              <w:t>Obligatorio</w:t>
            </w:r>
          </w:p>
        </w:tc>
        <w:tc>
          <w:tcPr>
            <w:tcW w:type="dxa" w:w="2033"/>
            <w:vAlign w:val="top"/>
          </w:tcPr>
          <w:p>
            <w:r>
              <w:t>planes-hogar.html / planes-pymes.html</w:t>
            </w:r>
          </w:p>
        </w:tc>
        <w:tc>
          <w:tcPr>
            <w:tcW w:type="dxa" w:w="2033"/>
            <w:vAlign w:val="top"/>
          </w:tcPr>
          <w:p>
            <w:r>
              <w:t>Revisar IVA, vigencia, instalación, permanencia y restricciones.</w:t>
            </w:r>
          </w:p>
        </w:tc>
      </w:tr>
      <w:tr>
        <w:tc>
          <w:tcPr>
            <w:tcW w:type="dxa" w:w="2033"/>
            <w:vAlign w:val="top"/>
          </w:tcPr>
          <w:p>
            <w:r>
              <w:t>Cobertura</w:t>
            </w:r>
          </w:p>
        </w:tc>
        <w:tc>
          <w:tcPr>
            <w:tcW w:type="dxa" w:w="2033"/>
            <w:vAlign w:val="top"/>
          </w:tcPr>
          <w:p>
            <w:r>
              <w:t>Informar cobertura de prestación y validar factibilidad.</w:t>
            </w:r>
          </w:p>
        </w:tc>
        <w:tc>
          <w:tcPr>
            <w:tcW w:type="dxa" w:w="2033"/>
            <w:vAlign w:val="top"/>
          </w:tcPr>
          <w:p>
            <w:r>
              <w:t>Obligatorio / recomendado</w:t>
            </w:r>
          </w:p>
        </w:tc>
        <w:tc>
          <w:tcPr>
            <w:tcW w:type="dxa" w:w="2033"/>
            <w:vAlign w:val="top"/>
          </w:tcPr>
          <w:p>
            <w:r>
              <w:t>cobertura.html</w:t>
            </w:r>
          </w:p>
        </w:tc>
        <w:tc>
          <w:tcPr>
            <w:tcW w:type="dxa" w:w="2033"/>
            <w:vAlign w:val="top"/>
          </w:tcPr>
          <w:p>
            <w:r>
              <w:t>Conectar API SysContISP y no revelar ubicación exacta de NAP.</w:t>
            </w:r>
          </w:p>
        </w:tc>
      </w:tr>
      <w:tr>
        <w:tc>
          <w:tcPr>
            <w:tcW w:type="dxa" w:w="2033"/>
            <w:vAlign w:val="top"/>
          </w:tcPr>
          <w:p>
            <w:r>
              <w:t>Derechos y obligaciones</w:t>
            </w:r>
          </w:p>
        </w:tc>
        <w:tc>
          <w:tcPr>
            <w:tcW w:type="dxa" w:w="2033"/>
            <w:vAlign w:val="top"/>
          </w:tcPr>
          <w:p>
            <w:r>
              <w:t>Información accesible para abonados, clientes y usuarios.</w:t>
            </w:r>
          </w:p>
        </w:tc>
        <w:tc>
          <w:tcPr>
            <w:tcW w:type="dxa" w:w="2033"/>
            <w:vAlign w:val="top"/>
          </w:tcPr>
          <w:p>
            <w:r>
              <w:t>Obligatorio / alto valor</w:t>
            </w:r>
          </w:p>
        </w:tc>
        <w:tc>
          <w:tcPr>
            <w:tcW w:type="dxa" w:w="2033"/>
            <w:vAlign w:val="top"/>
          </w:tcPr>
          <w:p>
            <w:r>
              <w:t>derechos-usuarios.html</w:t>
            </w:r>
          </w:p>
        </w:tc>
        <w:tc>
          <w:tcPr>
            <w:tcW w:type="dxa" w:w="2033"/>
            <w:vAlign w:val="top"/>
          </w:tcPr>
          <w:p>
            <w:r>
              <w:t>Revisión jurídica final.</w:t>
            </w:r>
          </w:p>
        </w:tc>
      </w:tr>
      <w:tr>
        <w:tc>
          <w:tcPr>
            <w:tcW w:type="dxa" w:w="2033"/>
            <w:vAlign w:val="top"/>
          </w:tcPr>
          <w:p>
            <w:r>
              <w:t>Canales de reclamos</w:t>
            </w:r>
          </w:p>
        </w:tc>
        <w:tc>
          <w:tcPr>
            <w:tcW w:type="dxa" w:w="2033"/>
            <w:vAlign w:val="top"/>
          </w:tcPr>
          <w:p>
            <w:r>
              <w:t>Canales eficientes, oportunos y accesibles; escalamiento a ARCOTEL.</w:t>
            </w:r>
          </w:p>
        </w:tc>
        <w:tc>
          <w:tcPr>
            <w:tcW w:type="dxa" w:w="2033"/>
            <w:vAlign w:val="top"/>
          </w:tcPr>
          <w:p>
            <w:r>
              <w:t>Obligatorio</w:t>
            </w:r>
          </w:p>
        </w:tc>
        <w:tc>
          <w:tcPr>
            <w:tcW w:type="dxa" w:w="2033"/>
            <w:vAlign w:val="top"/>
          </w:tcPr>
          <w:p>
            <w:r>
              <w:t>reclamos.html</w:t>
            </w:r>
          </w:p>
        </w:tc>
        <w:tc>
          <w:tcPr>
            <w:tcW w:type="dxa" w:w="2033"/>
            <w:vAlign w:val="top"/>
          </w:tcPr>
          <w:p>
            <w:r>
              <w:t>Registrar número de caso y trazabilidad.</w:t>
            </w:r>
          </w:p>
        </w:tc>
      </w:tr>
      <w:tr>
        <w:tc>
          <w:tcPr>
            <w:tcW w:type="dxa" w:w="2033"/>
            <w:vAlign w:val="top"/>
          </w:tcPr>
          <w:p>
            <w:r>
              <w:t>Contrato de adhesión</w:t>
            </w:r>
          </w:p>
        </w:tc>
        <w:tc>
          <w:tcPr>
            <w:tcW w:type="dxa" w:w="2033"/>
            <w:vAlign w:val="top"/>
          </w:tcPr>
          <w:p>
            <w:r>
              <w:t>Modelo con contenido mínimo, inscrito/registrado antes de uso.</w:t>
            </w:r>
          </w:p>
        </w:tc>
        <w:tc>
          <w:tcPr>
            <w:tcW w:type="dxa" w:w="2033"/>
            <w:vAlign w:val="top"/>
          </w:tcPr>
          <w:p>
            <w:r>
              <w:t>Obligatorio</w:t>
            </w:r>
          </w:p>
        </w:tc>
        <w:tc>
          <w:tcPr>
            <w:tcW w:type="dxa" w:w="2033"/>
            <w:vAlign w:val="top"/>
          </w:tcPr>
          <w:p>
            <w:r>
              <w:t>contrato-adhesion.html</w:t>
            </w:r>
          </w:p>
        </w:tc>
        <w:tc>
          <w:tcPr>
            <w:tcW w:type="dxa" w:w="2033"/>
            <w:vAlign w:val="top"/>
          </w:tcPr>
          <w:p>
            <w:r>
              <w:t>NO publicar como aprobado hasta obtener registro.</w:t>
            </w:r>
          </w:p>
        </w:tc>
      </w:tr>
      <w:tr>
        <w:tc>
          <w:tcPr>
            <w:tcW w:type="dxa" w:w="2033"/>
            <w:vAlign w:val="top"/>
          </w:tcPr>
          <w:p>
            <w:r>
              <w:t>Calidad del servicio</w:t>
            </w:r>
          </w:p>
        </w:tc>
        <w:tc>
          <w:tcPr>
            <w:tcW w:type="dxa" w:w="2033"/>
            <w:vAlign w:val="top"/>
          </w:tcPr>
          <w:p>
            <w:r>
              <w:t>Parámetros, condiciones de medición e indicadores cuando corresponda.</w:t>
            </w:r>
          </w:p>
        </w:tc>
        <w:tc>
          <w:tcPr>
            <w:tcW w:type="dxa" w:w="2033"/>
            <w:vAlign w:val="top"/>
          </w:tcPr>
          <w:p>
            <w:r>
              <w:t>Obligatorio según norma/título</w:t>
            </w:r>
          </w:p>
        </w:tc>
        <w:tc>
          <w:tcPr>
            <w:tcW w:type="dxa" w:w="2033"/>
            <w:vAlign w:val="top"/>
          </w:tcPr>
          <w:p>
            <w:r>
              <w:t>calidad-servicio.html</w:t>
            </w:r>
          </w:p>
        </w:tc>
        <w:tc>
          <w:tcPr>
            <w:tcW w:type="dxa" w:w="2033"/>
            <w:vAlign w:val="top"/>
          </w:tcPr>
          <w:p>
            <w:r>
              <w:t>Monitorear nueva norma prevista por ARCOTEL.</w:t>
            </w:r>
          </w:p>
        </w:tc>
      </w:tr>
      <w:tr>
        <w:tc>
          <w:tcPr>
            <w:tcW w:type="dxa" w:w="2033"/>
            <w:vAlign w:val="top"/>
          </w:tcPr>
          <w:p>
            <w:r>
              <w:t>Interrupciones</w:t>
            </w:r>
          </w:p>
        </w:tc>
        <w:tc>
          <w:tcPr>
            <w:tcW w:type="dxa" w:w="2033"/>
            <w:vAlign w:val="top"/>
          </w:tcPr>
          <w:p>
            <w:r>
              <w:t>Avisos programados, incidencias y compensaciones aplicables.</w:t>
            </w:r>
          </w:p>
        </w:tc>
        <w:tc>
          <w:tcPr>
            <w:tcW w:type="dxa" w:w="2033"/>
            <w:vAlign w:val="top"/>
          </w:tcPr>
          <w:p>
            <w:r>
              <w:t>Obligatorio operativo</w:t>
            </w:r>
          </w:p>
        </w:tc>
        <w:tc>
          <w:tcPr>
            <w:tcW w:type="dxa" w:w="2033"/>
            <w:vAlign w:val="top"/>
          </w:tcPr>
          <w:p>
            <w:r>
              <w:t>interrupciones.html</w:t>
            </w:r>
          </w:p>
        </w:tc>
        <w:tc>
          <w:tcPr>
            <w:tcW w:type="dxa" w:w="2033"/>
            <w:vAlign w:val="top"/>
          </w:tcPr>
          <w:p>
            <w:r>
              <w:t>Integrar avisos NOC.</w:t>
            </w:r>
          </w:p>
        </w:tc>
      </w:tr>
      <w:tr>
        <w:tc>
          <w:tcPr>
            <w:tcW w:type="dxa" w:w="2033"/>
            <w:vAlign w:val="top"/>
          </w:tcPr>
          <w:p>
            <w:r>
              <w:t>Adultos mayores</w:t>
            </w:r>
          </w:p>
        </w:tc>
        <w:tc>
          <w:tcPr>
            <w:tcW w:type="dxa" w:w="2033"/>
            <w:vAlign w:val="top"/>
          </w:tcPr>
          <w:p>
            <w:r>
              <w:t>Informar permanentemente el beneficio y tramitar solicitud expresa.</w:t>
            </w:r>
          </w:p>
        </w:tc>
        <w:tc>
          <w:tcPr>
            <w:tcW w:type="dxa" w:w="2033"/>
            <w:vAlign w:val="top"/>
          </w:tcPr>
          <w:p>
            <w:r>
              <w:t>Obligatorio</w:t>
            </w:r>
          </w:p>
        </w:tc>
        <w:tc>
          <w:tcPr>
            <w:tcW w:type="dxa" w:w="2033"/>
            <w:vAlign w:val="top"/>
          </w:tcPr>
          <w:p>
            <w:r>
              <w:t>beneficios-prioritarios.html</w:t>
            </w:r>
          </w:p>
        </w:tc>
        <w:tc>
          <w:tcPr>
            <w:tcW w:type="dxa" w:w="2033"/>
            <w:vAlign w:val="top"/>
          </w:tcPr>
          <w:p>
            <w:r>
              <w:t>Crear plan básico conforme resolución vigente.</w:t>
            </w:r>
          </w:p>
        </w:tc>
      </w:tr>
      <w:tr>
        <w:tc>
          <w:tcPr>
            <w:tcW w:type="dxa" w:w="2033"/>
            <w:vAlign w:val="top"/>
          </w:tcPr>
          <w:p>
            <w:r>
              <w:t>Personas con discapacidad</w:t>
            </w:r>
          </w:p>
        </w:tc>
        <w:tc>
          <w:tcPr>
            <w:tcW w:type="dxa" w:w="2033"/>
            <w:vAlign w:val="top"/>
          </w:tcPr>
          <w:p>
            <w:r>
              <w:t>Información accesible y aplicación de beneficios vigentes.</w:t>
            </w:r>
          </w:p>
        </w:tc>
        <w:tc>
          <w:tcPr>
            <w:tcW w:type="dxa" w:w="2033"/>
            <w:vAlign w:val="top"/>
          </w:tcPr>
          <w:p>
            <w:r>
              <w:t>Obligatorio según caso</w:t>
            </w:r>
          </w:p>
        </w:tc>
        <w:tc>
          <w:tcPr>
            <w:tcW w:type="dxa" w:w="2033"/>
            <w:vAlign w:val="top"/>
          </w:tcPr>
          <w:p>
            <w:r>
              <w:t>beneficios-prioritarios.html</w:t>
            </w:r>
          </w:p>
        </w:tc>
        <w:tc>
          <w:tcPr>
            <w:tcW w:type="dxa" w:w="2033"/>
            <w:vAlign w:val="top"/>
          </w:tcPr>
          <w:p>
            <w:r>
              <w:t>Confirmar requisitos y porcentaje aplicable.</w:t>
            </w:r>
          </w:p>
        </w:tc>
      </w:tr>
      <w:tr>
        <w:tc>
          <w:tcPr>
            <w:tcW w:type="dxa" w:w="2033"/>
            <w:vAlign w:val="top"/>
          </w:tcPr>
          <w:p>
            <w:r>
              <w:t>Privacidad</w:t>
            </w:r>
          </w:p>
        </w:tc>
        <w:tc>
          <w:tcPr>
            <w:tcW w:type="dxa" w:w="2033"/>
            <w:vAlign w:val="top"/>
          </w:tcPr>
          <w:p>
            <w:r>
              <w:t>Información sobre tratamiento de datos personales.</w:t>
            </w:r>
          </w:p>
        </w:tc>
        <w:tc>
          <w:tcPr>
            <w:tcW w:type="dxa" w:w="2033"/>
            <w:vAlign w:val="top"/>
          </w:tcPr>
          <w:p>
            <w:r>
              <w:t>Obligación legal transversal</w:t>
            </w:r>
          </w:p>
        </w:tc>
        <w:tc>
          <w:tcPr>
            <w:tcW w:type="dxa" w:w="2033"/>
            <w:vAlign w:val="top"/>
          </w:tcPr>
          <w:p>
            <w:r>
              <w:t>privacidad.html</w:t>
            </w:r>
          </w:p>
        </w:tc>
        <w:tc>
          <w:tcPr>
            <w:tcW w:type="dxa" w:w="2033"/>
            <w:vAlign w:val="top"/>
          </w:tcPr>
          <w:p>
            <w:r>
              <w:t>Completar datos del responsable y plazos.</w:t>
            </w:r>
          </w:p>
        </w:tc>
      </w:tr>
      <w:tr>
        <w:tc>
          <w:tcPr>
            <w:tcW w:type="dxa" w:w="2033"/>
            <w:vAlign w:val="top"/>
          </w:tcPr>
          <w:p>
            <w:r>
              <w:t>Identificación del prestador</w:t>
            </w:r>
          </w:p>
        </w:tc>
        <w:tc>
          <w:tcPr>
            <w:tcW w:type="dxa" w:w="2033"/>
            <w:vAlign w:val="top"/>
          </w:tcPr>
          <w:p>
            <w:r>
              <w:t>Razón social, RUC, domicilio, contacto, título habilitante.</w:t>
            </w:r>
          </w:p>
        </w:tc>
        <w:tc>
          <w:tcPr>
            <w:tcW w:type="dxa" w:w="2033"/>
            <w:vAlign w:val="top"/>
          </w:tcPr>
          <w:p>
            <w:r>
              <w:t>Obligatorio</w:t>
            </w:r>
          </w:p>
        </w:tc>
        <w:tc>
          <w:tcPr>
            <w:tcW w:type="dxa" w:w="2033"/>
            <w:vAlign w:val="top"/>
          </w:tcPr>
          <w:p>
            <w:r>
              <w:t>informacion-regulatoria.html</w:t>
            </w:r>
          </w:p>
        </w:tc>
        <w:tc>
          <w:tcPr>
            <w:tcW w:type="dxa" w:w="2033"/>
            <w:vAlign w:val="top"/>
          </w:tcPr>
          <w:p>
            <w:r>
              <w:t>Faltan datos oficiales.</w:t>
            </w:r>
          </w:p>
        </w:tc>
      </w:tr>
      <w:tr>
        <w:tc>
          <w:tcPr>
            <w:tcW w:type="dxa" w:w="2033"/>
            <w:vAlign w:val="top"/>
          </w:tcPr>
          <w:p>
            <w:r>
              <w:t>Enlaces oficiales</w:t>
            </w:r>
          </w:p>
        </w:tc>
        <w:tc>
          <w:tcPr>
            <w:tcW w:type="dxa" w:w="2033"/>
            <w:vAlign w:val="top"/>
          </w:tcPr>
          <w:p>
            <w:r>
              <w:t>ARCOTEL, derechos, reclamos, resoluciones y beneficios.</w:t>
            </w:r>
          </w:p>
        </w:tc>
        <w:tc>
          <w:tcPr>
            <w:tcW w:type="dxa" w:w="2033"/>
            <w:vAlign w:val="top"/>
          </w:tcPr>
          <w:p>
            <w:r>
              <w:t>Recomendado</w:t>
            </w:r>
          </w:p>
        </w:tc>
        <w:tc>
          <w:tcPr>
            <w:tcW w:type="dxa" w:w="2033"/>
            <w:vAlign w:val="top"/>
          </w:tcPr>
          <w:p>
            <w:r>
              <w:t>informacion-regulatoria.html</w:t>
            </w:r>
          </w:p>
        </w:tc>
        <w:tc>
          <w:tcPr>
            <w:tcW w:type="dxa" w:w="2033"/>
            <w:vAlign w:val="top"/>
          </w:tcPr>
          <w:p>
            <w:r>
              <w:t>Revisar enlaces trimestralmente.</w:t>
            </w:r>
          </w:p>
        </w:tc>
      </w:tr>
    </w:tbl>
    <w:p>
      <w:pPr>
        <w:pStyle w:val="Heading1"/>
      </w:pPr>
      <w:r>
        <w:t>Enlaces oficiales verificados</w:t>
      </w:r>
    </w:p>
    <w:p>
      <w:pPr>
        <w:pStyle w:val="ListBullet"/>
      </w:pPr>
      <w:hyperlink r:id="rId9">
        <w:r>
          <w:rPr>
            <w:color w:val="0563C1"/>
            <w:u w:val="single"/>
          </w:rPr>
          <w:t>ARCOTEL</w:t>
        </w:r>
      </w:hyperlink>
    </w:p>
    <w:p>
      <w:pPr>
        <w:pStyle w:val="ListBullet"/>
      </w:pPr>
      <w:hyperlink r:id="rId10">
        <w:r>
          <w:rPr>
            <w:color w:val="0563C1"/>
            <w:u w:val="single"/>
          </w:rPr>
          <w:t>Derechos y obligaciones</w:t>
        </w:r>
      </w:hyperlink>
    </w:p>
    <w:p>
      <w:pPr>
        <w:pStyle w:val="ListBullet"/>
      </w:pPr>
      <w:hyperlink r:id="rId11">
        <w:r>
          <w:rPr>
            <w:color w:val="0563C1"/>
            <w:u w:val="single"/>
          </w:rPr>
          <w:t>Contratos de adhesión</w:t>
        </w:r>
      </w:hyperlink>
    </w:p>
    <w:p>
      <w:pPr>
        <w:pStyle w:val="ListBullet"/>
      </w:pPr>
      <w:hyperlink r:id="rId12">
        <w:r>
          <w:rPr>
            <w:color w:val="0563C1"/>
            <w:u w:val="single"/>
          </w:rPr>
          <w:t>Reclamos de telecomunicaciones</w:t>
        </w:r>
      </w:hyperlink>
    </w:p>
    <w:p>
      <w:pPr>
        <w:pStyle w:val="ListBullet"/>
      </w:pPr>
      <w:hyperlink r:id="rId13">
        <w:r>
          <w:rPr>
            <w:color w:val="0563C1"/>
            <w:u w:val="single"/>
          </w:rPr>
          <w:t>Resoluciones</w:t>
        </w:r>
      </w:hyperlink>
    </w:p>
    <w:p>
      <w:pPr>
        <w:pStyle w:val="ListBullet"/>
      </w:pPr>
      <w:hyperlink r:id="rId14">
        <w:r>
          <w:rPr>
            <w:color w:val="0563C1"/>
            <w:u w:val="single"/>
          </w:rPr>
          <w:t>Beneficios adultos mayores</w:t>
        </w:r>
      </w:hyperlink>
    </w:p>
    <w:p>
      <w:pPr>
        <w:pStyle w:val="ListBullet"/>
      </w:pPr>
      <w:hyperlink r:id="rId15">
        <w:r>
          <w:rPr>
            <w:color w:val="0563C1"/>
            <w:u w:val="single"/>
          </w:rPr>
          <w:t>Beneficios discapacidad</w:t>
        </w:r>
      </w:hyperlink>
    </w:p>
    <w:p>
      <w:pPr>
        <w:pStyle w:val="Heading1"/>
      </w:pPr>
      <w:r>
        <w:t>Advertencia jurídica</w:t>
      </w:r>
    </w:p>
    <w:p>
      <w:r>
        <w:t>La matriz no sustituye el análisis de un abogado especializado ni la revisión del título habilitante. La normativa y los formatos de ARCOTEL pueden cambiar; se recomienda una revisión regulatoria antes de publicación y trimestralmente.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A254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A254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A25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0A254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arcotel.gob.ec/" TargetMode="External"/><Relationship Id="rId10" Type="http://schemas.openxmlformats.org/officeDocument/2006/relationships/hyperlink" Target="https://www.arcotel.gob.ec/derechos-de-los-abonados-clientes-y-usuarios/" TargetMode="External"/><Relationship Id="rId11" Type="http://schemas.openxmlformats.org/officeDocument/2006/relationships/hyperlink" Target="https://www.arcotel.gob.ec/informacion-de-contratos-de-adhesion/" TargetMode="External"/><Relationship Id="rId12" Type="http://schemas.openxmlformats.org/officeDocument/2006/relationships/hyperlink" Target="https://www.gob.ec/articulos/reclamos-servicios-telecomunicaciones" TargetMode="External"/><Relationship Id="rId13" Type="http://schemas.openxmlformats.org/officeDocument/2006/relationships/hyperlink" Target="https://www.arcotel.gob.ec/resoluciones/" TargetMode="External"/><Relationship Id="rId14" Type="http://schemas.openxmlformats.org/officeDocument/2006/relationships/hyperlink" Target="https://www.arcotel.gob.ec/la-arcotel-emitio-una-resolucion-que-viabiliza-y-facilita-exoneraciones-y-rebajas-en-el-ambito-de-las-telecomunicaciones-a-favor-de-las-personas-adultas-mayores/" TargetMode="External"/><Relationship Id="rId15" Type="http://schemas.openxmlformats.org/officeDocument/2006/relationships/hyperlink" Target="https://www.arcotel.gob.ec/beneficios-de-telecomunicaciones-para-personas-con-discapacidad-en-ecuad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