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8F1A1A"/>
          <w:sz w:val="36"/>
        </w:rPr>
        <w:t>GigaFasTV.Net</w:t>
      </w:r>
    </w:p>
    <w:p>
      <w:pPr>
        <w:jc w:val="center"/>
      </w:pPr>
      <w:r>
        <w:rPr>
          <w:b/>
          <w:color w:val="0A2540"/>
          <w:sz w:val="44"/>
        </w:rPr>
        <w:t>Procedimiento de atención de reclamos</w:t>
      </w:r>
    </w:p>
    <w:p>
      <w:pPr>
        <w:jc w:val="center"/>
      </w:pPr>
      <w:r>
        <w:rPr>
          <w:i/>
        </w:rPr>
        <w:t>Modelo interno para GigaFastv</w:t>
      </w:r>
    </w:p>
    <w:p/>
    <w:p>
      <w:pPr>
        <w:pStyle w:val="Heading1"/>
      </w:pPr>
      <w:r>
        <w:t>1. Objetivo</w:t>
      </w:r>
    </w:p>
    <w:p>
      <w:r>
        <w:t>Establecer un proceso trazable, accesible y oportuno para registrar, clasificar, resolver y comunicar solicitudes y reclamos de usuarios.</w:t>
      </w:r>
    </w:p>
    <w:p>
      <w:pPr>
        <w:pStyle w:val="Heading1"/>
      </w:pPr>
      <w:r>
        <w:t>2. Canales</w:t>
      </w:r>
    </w:p>
    <w:p>
      <w:pPr>
        <w:pStyle w:val="ListBullet"/>
      </w:pPr>
      <w:r>
        <w:t>WhatsApp: +593 99 119 1702</w:t>
      </w:r>
    </w:p>
    <w:p>
      <w:pPr>
        <w:pStyle w:val="ListBullet"/>
      </w:pPr>
      <w:r>
        <w:t>Correo: soporte@gigafastv.net</w:t>
      </w:r>
    </w:p>
    <w:p>
      <w:pPr>
        <w:pStyle w:val="ListBullet"/>
      </w:pPr>
      <w:r>
        <w:t>Portal: https://app.syscontisp.net/?portal=cliente</w:t>
      </w:r>
    </w:p>
    <w:p>
      <w:pPr>
        <w:pStyle w:val="ListBullet"/>
      </w:pPr>
      <w:r>
        <w:t>Atención presencial: [COMPLETAR DIRECCIÓN Y HORARIO]</w:t>
      </w:r>
    </w:p>
    <w:p>
      <w:pPr>
        <w:pStyle w:val="Heading1"/>
      </w:pPr>
      <w:r>
        <w:t>3. Registro obligatorio</w:t>
      </w:r>
    </w:p>
    <w:p>
      <w:pPr>
        <w:pStyle w:val="ListBullet"/>
      </w:pPr>
      <w:r>
        <w:t>Número único de caso</w:t>
      </w:r>
    </w:p>
    <w:p>
      <w:pPr>
        <w:pStyle w:val="ListBullet"/>
      </w:pPr>
      <w:r>
        <w:t>Fecha y hora</w:t>
      </w:r>
    </w:p>
    <w:p>
      <w:pPr>
        <w:pStyle w:val="ListBullet"/>
      </w:pPr>
      <w:r>
        <w:t>Titular y servicio</w:t>
      </w:r>
    </w:p>
    <w:p>
      <w:pPr>
        <w:pStyle w:val="ListBullet"/>
      </w:pPr>
      <w:r>
        <w:t>Categoría y descripción</w:t>
      </w:r>
    </w:p>
    <w:p>
      <w:pPr>
        <w:pStyle w:val="ListBullet"/>
      </w:pPr>
      <w:r>
        <w:t>Evidencias</w:t>
      </w:r>
    </w:p>
    <w:p>
      <w:pPr>
        <w:pStyle w:val="ListBullet"/>
      </w:pPr>
      <w:r>
        <w:t>Responsable asignado</w:t>
      </w:r>
    </w:p>
    <w:p>
      <w:pPr>
        <w:pStyle w:val="ListBullet"/>
      </w:pPr>
      <w:r>
        <w:t>Acciones y comunicaciones</w:t>
      </w:r>
    </w:p>
    <w:p>
      <w:pPr>
        <w:pStyle w:val="ListBullet"/>
      </w:pPr>
      <w:r>
        <w:t>Fecha y resultado de cierre</w:t>
      </w:r>
    </w:p>
    <w:p>
      <w:pPr>
        <w:pStyle w:val="Heading1"/>
      </w:pPr>
      <w:r>
        <w:t>4. Clasificación y prioridad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shd w:fill="0A2540"/>
          </w:tcPr>
          <w:p>
            <w:r>
              <w:rPr>
                <w:b/>
                <w:color w:val="FFFFFF"/>
              </w:rPr>
              <w:t>Prioridad</w:t>
            </w:r>
          </w:p>
        </w:tc>
        <w:tc>
          <w:tcPr>
            <w:tcW w:type="dxa" w:w="2541"/>
            <w:shd w:fill="0A2540"/>
          </w:tcPr>
          <w:p>
            <w:r>
              <w:rPr>
                <w:b/>
                <w:color w:val="FFFFFF"/>
              </w:rPr>
              <w:t>Ejemplos</w:t>
            </w:r>
          </w:p>
        </w:tc>
        <w:tc>
          <w:tcPr>
            <w:tcW w:type="dxa" w:w="2541"/>
            <w:shd w:fill="0A2540"/>
          </w:tcPr>
          <w:p>
            <w:r>
              <w:rPr>
                <w:b/>
                <w:color w:val="FFFFFF"/>
              </w:rPr>
              <w:t>Atención inicial</w:t>
            </w:r>
          </w:p>
        </w:tc>
        <w:tc>
          <w:tcPr>
            <w:tcW w:type="dxa" w:w="2541"/>
            <w:shd w:fill="0A2540"/>
          </w:tcPr>
          <w:p>
            <w:r>
              <w:rPr>
                <w:b/>
                <w:color w:val="FFFFFF"/>
              </w:rPr>
              <w:t>Escalamiento</w:t>
            </w:r>
          </w:p>
        </w:tc>
      </w:tr>
      <w:tr>
        <w:tc>
          <w:tcPr>
            <w:tcW w:type="dxa" w:w="2541"/>
          </w:tcPr>
          <w:p>
            <w:r>
              <w:t>Crítica</w:t>
            </w:r>
          </w:p>
        </w:tc>
        <w:tc>
          <w:tcPr>
            <w:tcW w:type="dxa" w:w="2541"/>
          </w:tcPr>
          <w:p>
            <w:r>
              <w:t>Caída masiva, seguridad, afectación empresarial grave</w:t>
            </w:r>
          </w:p>
        </w:tc>
        <w:tc>
          <w:tcPr>
            <w:tcW w:type="dxa" w:w="2541"/>
          </w:tcPr>
          <w:p>
            <w:r>
              <w:t>Inmediata</w:t>
            </w:r>
          </w:p>
        </w:tc>
        <w:tc>
          <w:tcPr>
            <w:tcW w:type="dxa" w:w="2541"/>
          </w:tcPr>
          <w:p>
            <w:r>
              <w:t>NOC / Nivel 2 / Gerencia</w:t>
            </w:r>
          </w:p>
        </w:tc>
      </w:tr>
      <w:tr>
        <w:tc>
          <w:tcPr>
            <w:tcW w:type="dxa" w:w="2541"/>
          </w:tcPr>
          <w:p>
            <w:r>
              <w:t>Alta</w:t>
            </w:r>
          </w:p>
        </w:tc>
        <w:tc>
          <w:tcPr>
            <w:tcW w:type="dxa" w:w="2541"/>
          </w:tcPr>
          <w:p>
            <w:r>
              <w:t>Servicio totalmente caído de un cliente, facturación sensible</w:t>
            </w:r>
          </w:p>
        </w:tc>
        <w:tc>
          <w:tcPr>
            <w:tcW w:type="dxa" w:w="2541"/>
          </w:tcPr>
          <w:p>
            <w:r>
              <w:t>Prioritaria</w:t>
            </w:r>
          </w:p>
        </w:tc>
        <w:tc>
          <w:tcPr>
            <w:tcW w:type="dxa" w:w="2541"/>
          </w:tcPr>
          <w:p>
            <w:r>
              <w:t>Soporte / Finanzas</w:t>
            </w:r>
          </w:p>
        </w:tc>
      </w:tr>
      <w:tr>
        <w:tc>
          <w:tcPr>
            <w:tcW w:type="dxa" w:w="2541"/>
          </w:tcPr>
          <w:p>
            <w:r>
              <w:t>Media</w:t>
            </w:r>
          </w:p>
        </w:tc>
        <w:tc>
          <w:tcPr>
            <w:tcW w:type="dxa" w:w="2541"/>
          </w:tcPr>
          <w:p>
            <w:r>
              <w:t>Intermitencia, velocidad, Wi-Fi, cambio de plan</w:t>
            </w:r>
          </w:p>
        </w:tc>
        <w:tc>
          <w:tcPr>
            <w:tcW w:type="dxa" w:w="2541"/>
          </w:tcPr>
          <w:p>
            <w:r>
              <w:t>Orden normal</w:t>
            </w:r>
          </w:p>
        </w:tc>
        <w:tc>
          <w:tcPr>
            <w:tcW w:type="dxa" w:w="2541"/>
          </w:tcPr>
          <w:p>
            <w:r>
              <w:t>Soporte</w:t>
            </w:r>
          </w:p>
        </w:tc>
      </w:tr>
      <w:tr>
        <w:tc>
          <w:tcPr>
            <w:tcW w:type="dxa" w:w="2541"/>
          </w:tcPr>
          <w:p>
            <w:r>
              <w:t>Baja</w:t>
            </w:r>
          </w:p>
        </w:tc>
        <w:tc>
          <w:tcPr>
            <w:tcW w:type="dxa" w:w="2541"/>
          </w:tcPr>
          <w:p>
            <w:r>
              <w:t>Consulta, actualización de datos, información</w:t>
            </w:r>
          </w:p>
        </w:tc>
        <w:tc>
          <w:tcPr>
            <w:tcW w:type="dxa" w:w="2541"/>
          </w:tcPr>
          <w:p>
            <w:r>
              <w:t>Orden normal</w:t>
            </w:r>
          </w:p>
        </w:tc>
        <w:tc>
          <w:tcPr>
            <w:tcW w:type="dxa" w:w="2541"/>
          </w:tcPr>
          <w:p>
            <w:r>
              <w:t>Atención al cliente</w:t>
            </w:r>
          </w:p>
        </w:tc>
      </w:tr>
    </w:tbl>
    <w:p>
      <w:pPr>
        <w:pStyle w:val="Heading1"/>
      </w:pPr>
      <w:r>
        <w:t>5. Flujo</w:t>
      </w:r>
    </w:p>
    <w:p>
      <w:pPr>
        <w:pStyle w:val="ListNumber"/>
      </w:pPr>
      <w:r>
        <w:t>Recepción y validación de identidad</w:t>
      </w:r>
    </w:p>
    <w:p>
      <w:pPr>
        <w:pStyle w:val="ListNumber"/>
      </w:pPr>
      <w:r>
        <w:t>Creación de caso</w:t>
      </w:r>
    </w:p>
    <w:p>
      <w:pPr>
        <w:pStyle w:val="ListNumber"/>
      </w:pPr>
      <w:r>
        <w:t>Diagnóstico y clasificación</w:t>
      </w:r>
    </w:p>
    <w:p>
      <w:pPr>
        <w:pStyle w:val="ListNumber"/>
      </w:pPr>
      <w:r>
        <w:t>Asignación y seguimiento</w:t>
      </w:r>
    </w:p>
    <w:p>
      <w:pPr>
        <w:pStyle w:val="ListNumber"/>
      </w:pPr>
      <w:r>
        <w:t>Comunicación al usuario</w:t>
      </w:r>
    </w:p>
    <w:p>
      <w:pPr>
        <w:pStyle w:val="ListNumber"/>
      </w:pPr>
      <w:r>
        <w:t>Solución o respuesta motivada</w:t>
      </w:r>
    </w:p>
    <w:p>
      <w:pPr>
        <w:pStyle w:val="ListNumber"/>
      </w:pPr>
      <w:r>
        <w:t>Cierre y conservación de evidencia</w:t>
      </w:r>
    </w:p>
    <w:p>
      <w:pPr>
        <w:pStyle w:val="ListNumber"/>
      </w:pPr>
      <w:r>
        <w:t>Reapertura o escalamiento cuando corresponda</w:t>
      </w:r>
    </w:p>
    <w:p>
      <w:pPr>
        <w:pStyle w:val="Heading1"/>
      </w:pPr>
      <w:r>
        <w:t>6. Escalamiento externo</w:t>
      </w:r>
    </w:p>
    <w:p>
      <w:r>
        <w:t xml:space="preserve">Cuando el usuario no esté conforme, se le informará el canal oficial: </w:t>
      </w:r>
      <w:hyperlink r:id="rId9">
        <w:r>
          <w:rPr>
            <w:color w:val="0563C1"/>
            <w:u w:val="single"/>
          </w:rPr>
          <w:t>Reclamos de Servicios de Telecomunicaciones en Gob.ec</w:t>
        </w:r>
      </w:hyperlink>
    </w:p>
    <w:p>
      <w:pPr>
        <w:pStyle w:val="Heading1"/>
      </w:pPr>
      <w:r>
        <w:t>7. Indicadores internos</w:t>
      </w:r>
    </w:p>
    <w:p>
      <w:pPr>
        <w:pStyle w:val="ListBullet"/>
      </w:pPr>
      <w:r>
        <w:t>Casos recibidos por categoría</w:t>
      </w:r>
    </w:p>
    <w:p>
      <w:pPr>
        <w:pStyle w:val="ListBullet"/>
      </w:pPr>
      <w:r>
        <w:t>Tiempo de primera respuesta</w:t>
      </w:r>
    </w:p>
    <w:p>
      <w:pPr>
        <w:pStyle w:val="ListBullet"/>
      </w:pPr>
      <w:r>
        <w:t>Tiempo de resolución</w:t>
      </w:r>
    </w:p>
    <w:p>
      <w:pPr>
        <w:pStyle w:val="ListBullet"/>
      </w:pPr>
      <w:r>
        <w:t>Reincidencia</w:t>
      </w:r>
    </w:p>
    <w:p>
      <w:pPr>
        <w:pStyle w:val="ListBullet"/>
      </w:pPr>
      <w:r>
        <w:t>Casos reabiertos</w:t>
      </w:r>
    </w:p>
    <w:p>
      <w:pPr>
        <w:pStyle w:val="ListBullet"/>
      </w:pPr>
      <w:r>
        <w:t>Compensaciones/reliquidaciones</w:t>
      </w:r>
    </w:p>
    <w:p>
      <w:pPr>
        <w:pStyle w:val="ListBullet"/>
      </w:pPr>
      <w:r>
        <w:t>Satisfacción del usuario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A254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A254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A25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0A254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gob.ec/articulos/reclamos-servicios-telecomunicacio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